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7E2A" w14:textId="3ADAAC0E" w:rsidR="00A301D2" w:rsidRDefault="00A301D2" w:rsidP="00A301D2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Toruń, dnia 28.06.2024 roku</w:t>
      </w:r>
    </w:p>
    <w:p w14:paraId="56179216" w14:textId="77777777" w:rsidR="00A301D2" w:rsidRPr="00A301D2" w:rsidRDefault="00A301D2" w:rsidP="00A301D2">
      <w:pPr>
        <w:pStyle w:val="Default"/>
        <w:spacing w:line="276" w:lineRule="auto"/>
        <w:jc w:val="both"/>
        <w:rPr>
          <w:b/>
          <w:bCs/>
        </w:rPr>
      </w:pPr>
    </w:p>
    <w:p w14:paraId="420D78F9" w14:textId="77777777" w:rsidR="00A301D2" w:rsidRPr="00A301D2" w:rsidRDefault="00A301D2" w:rsidP="00A301D2">
      <w:pPr>
        <w:pStyle w:val="Default"/>
        <w:spacing w:line="276" w:lineRule="auto"/>
        <w:jc w:val="both"/>
      </w:pPr>
    </w:p>
    <w:p w14:paraId="1C3CCEED" w14:textId="19E6D1A9" w:rsidR="00A301D2" w:rsidRPr="00A301D2" w:rsidRDefault="00A301D2" w:rsidP="00A301D2">
      <w:pPr>
        <w:pStyle w:val="Default"/>
        <w:spacing w:line="276" w:lineRule="auto"/>
        <w:jc w:val="center"/>
      </w:pPr>
      <w:r w:rsidRPr="00A301D2">
        <w:rPr>
          <w:b/>
          <w:bCs/>
        </w:rPr>
        <w:t>WARUNKI SPRZEDAŻY</w:t>
      </w:r>
    </w:p>
    <w:p w14:paraId="6876119C" w14:textId="250D3E06" w:rsidR="00A301D2" w:rsidRPr="00A301D2" w:rsidRDefault="00A301D2" w:rsidP="00A301D2">
      <w:pPr>
        <w:pStyle w:val="Default"/>
        <w:spacing w:line="276" w:lineRule="auto"/>
        <w:jc w:val="center"/>
        <w:rPr>
          <w:b/>
          <w:bCs/>
        </w:rPr>
      </w:pPr>
      <w:r w:rsidRPr="00A301D2">
        <w:rPr>
          <w:b/>
          <w:bCs/>
        </w:rPr>
        <w:t xml:space="preserve">Ruchomości wchodzących w skład masy upadłości Mona Pro Moda Sp. z o.o. </w:t>
      </w:r>
      <w:r w:rsidR="00175BC2">
        <w:rPr>
          <w:b/>
          <w:bCs/>
        </w:rPr>
        <w:t xml:space="preserve">sp. k </w:t>
      </w:r>
      <w:r w:rsidRPr="00A301D2">
        <w:rPr>
          <w:b/>
          <w:bCs/>
        </w:rPr>
        <w:t>w upadłości</w:t>
      </w:r>
    </w:p>
    <w:p w14:paraId="468996DD" w14:textId="77777777" w:rsidR="00A301D2" w:rsidRPr="00A301D2" w:rsidRDefault="00A301D2" w:rsidP="00A301D2">
      <w:pPr>
        <w:pStyle w:val="Default"/>
        <w:spacing w:line="276" w:lineRule="auto"/>
        <w:jc w:val="both"/>
        <w:rPr>
          <w:b/>
          <w:bCs/>
        </w:rPr>
      </w:pPr>
    </w:p>
    <w:p w14:paraId="148E8EDA" w14:textId="3E719F50" w:rsidR="00A301D2" w:rsidRDefault="00A301D2" w:rsidP="00A301D2">
      <w:pPr>
        <w:pStyle w:val="Default"/>
        <w:spacing w:line="276" w:lineRule="auto"/>
        <w:jc w:val="both"/>
      </w:pPr>
      <w:r w:rsidRPr="00A301D2">
        <w:t xml:space="preserve">Sprzedaż nastąpi przy zachowaniu następujących warunków: </w:t>
      </w:r>
    </w:p>
    <w:p w14:paraId="2D52C770" w14:textId="77777777" w:rsidR="00A301D2" w:rsidRPr="00A301D2" w:rsidRDefault="00A301D2" w:rsidP="00A301D2">
      <w:pPr>
        <w:pStyle w:val="Default"/>
        <w:spacing w:line="276" w:lineRule="auto"/>
        <w:jc w:val="both"/>
      </w:pPr>
    </w:p>
    <w:p w14:paraId="0C33B255" w14:textId="41F1E7E7" w:rsidR="00A301D2" w:rsidRPr="00A301D2" w:rsidRDefault="00A301D2" w:rsidP="00A301D2">
      <w:pPr>
        <w:pStyle w:val="Default"/>
        <w:spacing w:line="276" w:lineRule="auto"/>
        <w:jc w:val="both"/>
      </w:pPr>
      <w:r w:rsidRPr="00A301D2">
        <w:t xml:space="preserve">1. Oferty na zakup ruchomości należy składać do dnia 31.07.2024 r. na adres biura syndyka: </w:t>
      </w:r>
    </w:p>
    <w:p w14:paraId="364D139D" w14:textId="00A0584A" w:rsidR="00A301D2" w:rsidRDefault="00983CD3" w:rsidP="00A301D2">
      <w:pPr>
        <w:pStyle w:val="Default"/>
        <w:spacing w:line="276" w:lineRule="auto"/>
        <w:jc w:val="both"/>
      </w:pPr>
      <w:r>
        <w:t>81-524</w:t>
      </w:r>
      <w:r>
        <w:t xml:space="preserve"> </w:t>
      </w:r>
      <w:r w:rsidR="0020791D">
        <w:t>Gdynia</w:t>
      </w:r>
      <w:r w:rsidR="00A301D2" w:rsidRPr="00A301D2">
        <w:t xml:space="preserve">, ul. </w:t>
      </w:r>
      <w:r w:rsidR="0020791D">
        <w:t>Balladyny</w:t>
      </w:r>
      <w:r w:rsidR="00A301D2" w:rsidRPr="00A301D2">
        <w:t xml:space="preserve"> </w:t>
      </w:r>
      <w:r w:rsidR="0020791D">
        <w:t>8/1</w:t>
      </w:r>
      <w:r w:rsidR="00A301D2" w:rsidRPr="00A301D2">
        <w:t xml:space="preserve">, lub na adres mailowy: </w:t>
      </w:r>
      <w:hyperlink r:id="rId7" w:history="1">
        <w:r w:rsidR="00A301D2" w:rsidRPr="00DD5928">
          <w:rPr>
            <w:rStyle w:val="Hipercze"/>
          </w:rPr>
          <w:t>biuro@dgmr.pl</w:t>
        </w:r>
      </w:hyperlink>
      <w:r w:rsidR="00A301D2" w:rsidRPr="00A301D2">
        <w:t xml:space="preserve">. </w:t>
      </w:r>
    </w:p>
    <w:p w14:paraId="031FD0A8" w14:textId="77777777" w:rsidR="00A301D2" w:rsidRPr="00A301D2" w:rsidRDefault="00A301D2" w:rsidP="00A301D2">
      <w:pPr>
        <w:pStyle w:val="Default"/>
        <w:spacing w:line="276" w:lineRule="auto"/>
        <w:jc w:val="both"/>
      </w:pPr>
    </w:p>
    <w:p w14:paraId="45F6325F" w14:textId="4F25A52E" w:rsidR="00A301D2" w:rsidRPr="00A301D2" w:rsidRDefault="00A301D2" w:rsidP="00A301D2">
      <w:pPr>
        <w:pStyle w:val="Default"/>
        <w:spacing w:after="214" w:line="276" w:lineRule="auto"/>
        <w:jc w:val="both"/>
      </w:pPr>
      <w:r w:rsidRPr="00A301D2">
        <w:t xml:space="preserve">2. Ewentualna licytacja nastąpi w dniu 01.08.2024 r. o godz. 09:00 w biurze syndyka w </w:t>
      </w:r>
      <w:r w:rsidR="0020791D">
        <w:t xml:space="preserve">Gdyni </w:t>
      </w:r>
      <w:r w:rsidRPr="00A301D2">
        <w:t xml:space="preserve"> przy ul. </w:t>
      </w:r>
      <w:r w:rsidR="0020791D">
        <w:t>Balladyny 8/1</w:t>
      </w:r>
      <w:r w:rsidRPr="00A301D2">
        <w:t xml:space="preserve">. </w:t>
      </w:r>
    </w:p>
    <w:p w14:paraId="495A7E3C" w14:textId="755F57A7" w:rsidR="00A301D2" w:rsidRPr="00A301D2" w:rsidRDefault="00A301D2" w:rsidP="00A301D2">
      <w:pPr>
        <w:pStyle w:val="Default"/>
        <w:numPr>
          <w:ilvl w:val="1"/>
          <w:numId w:val="2"/>
        </w:numPr>
        <w:spacing w:after="214" w:line="276" w:lineRule="auto"/>
        <w:jc w:val="both"/>
      </w:pPr>
      <w:r w:rsidRPr="00A301D2">
        <w:t>3. Oferowana cena nie może być niższa niż cena wywoławcza, powiększona o stawkę podatku VAT obowiązującą w dacie zawarcia umowy sprzedaży i wynosi 50 000,00 zł</w:t>
      </w:r>
    </w:p>
    <w:p w14:paraId="10F7332B" w14:textId="72CDC612" w:rsidR="00A301D2" w:rsidRPr="00A301D2" w:rsidRDefault="00A301D2" w:rsidP="00A301D2">
      <w:pPr>
        <w:pStyle w:val="Default"/>
        <w:numPr>
          <w:ilvl w:val="1"/>
          <w:numId w:val="2"/>
        </w:numPr>
        <w:spacing w:after="214" w:line="276" w:lineRule="auto"/>
        <w:jc w:val="both"/>
      </w:pPr>
      <w:r w:rsidRPr="00A301D2">
        <w:t xml:space="preserve">a. Pakiet wyposażenia sklepów odzieżowych: 40 000 zł </w:t>
      </w:r>
    </w:p>
    <w:p w14:paraId="440BA60E" w14:textId="3ECC62AA" w:rsidR="00A301D2" w:rsidRPr="00A301D2" w:rsidRDefault="00A301D2" w:rsidP="00A301D2">
      <w:pPr>
        <w:pStyle w:val="Default"/>
        <w:numPr>
          <w:ilvl w:val="1"/>
          <w:numId w:val="2"/>
        </w:numPr>
        <w:spacing w:after="214" w:line="276" w:lineRule="auto"/>
        <w:jc w:val="both"/>
      </w:pPr>
      <w:r w:rsidRPr="00A301D2">
        <w:t>b. Pakiet zapasów odzieży damskiej: 10 000 zł</w:t>
      </w:r>
    </w:p>
    <w:p w14:paraId="67549997" w14:textId="6F417278" w:rsidR="00A301D2" w:rsidRDefault="00A301D2" w:rsidP="00A301D2">
      <w:pPr>
        <w:pStyle w:val="Default"/>
        <w:spacing w:line="276" w:lineRule="auto"/>
        <w:jc w:val="both"/>
      </w:pPr>
      <w:r w:rsidRPr="00A301D2">
        <w:t xml:space="preserve">4. Sprzedaż zostanie poprzedzona skierowaniem oferty sprzedaży ruchomości do szerokiego grona odbiorców, w tym zostanie ogłoszona przez okres nie krótszy niż 2 tygodnie w co najmniej jednym portalu Internetowym o zasięgu ogólnopolskim oraz na stronie Internetowej syndyka </w:t>
      </w:r>
      <w:hyperlink r:id="rId8" w:history="1">
        <w:r w:rsidRPr="00DD5928">
          <w:rPr>
            <w:rStyle w:val="Hipercze"/>
          </w:rPr>
          <w:t>www.dobiesgrenda.pl</w:t>
        </w:r>
      </w:hyperlink>
      <w:r w:rsidRPr="00A301D2">
        <w:t xml:space="preserve">. </w:t>
      </w:r>
    </w:p>
    <w:p w14:paraId="14F92BDA" w14:textId="77777777" w:rsidR="00A301D2" w:rsidRPr="00A301D2" w:rsidRDefault="00A301D2" w:rsidP="00A301D2">
      <w:pPr>
        <w:pStyle w:val="Default"/>
        <w:spacing w:line="276" w:lineRule="auto"/>
        <w:jc w:val="both"/>
      </w:pPr>
    </w:p>
    <w:p w14:paraId="33952C51" w14:textId="77777777" w:rsidR="00A301D2" w:rsidRPr="00A301D2" w:rsidRDefault="00A301D2" w:rsidP="00A301D2">
      <w:pPr>
        <w:pStyle w:val="Default"/>
        <w:spacing w:after="217" w:line="276" w:lineRule="auto"/>
        <w:jc w:val="both"/>
      </w:pPr>
      <w:r w:rsidRPr="00A301D2">
        <w:t xml:space="preserve">5. W przypadku otrzymania przez syndyka więcej niż jednej oferty nabycia ruchomości za cenę nie niższą niż cena minimalna określona w pkt. 3 sprzedaż nastąpi po przeprowadzeniu dodatkowej licytacji pomiędzy oferentami za najwyższą wylicytowaną cenę. </w:t>
      </w:r>
    </w:p>
    <w:p w14:paraId="7CD1FFEE" w14:textId="2FE6CDB1" w:rsidR="00A301D2" w:rsidRPr="00A301D2" w:rsidRDefault="00A301D2" w:rsidP="00A301D2">
      <w:pPr>
        <w:pStyle w:val="Default"/>
        <w:spacing w:line="276" w:lineRule="auto"/>
        <w:jc w:val="both"/>
      </w:pPr>
      <w:r w:rsidRPr="00A301D2">
        <w:t xml:space="preserve">6. Syndyk </w:t>
      </w:r>
      <w:r w:rsidR="0020791D">
        <w:t>dokona</w:t>
      </w:r>
      <w:r w:rsidRPr="00A301D2">
        <w:t xml:space="preserve"> sprzedaży ruchomości </w:t>
      </w:r>
      <w:r w:rsidR="0020791D">
        <w:t xml:space="preserve">na rzecz </w:t>
      </w:r>
      <w:r w:rsidRPr="00A301D2">
        <w:t>wyłonion</w:t>
      </w:r>
      <w:r w:rsidR="0020791D">
        <w:t>ego</w:t>
      </w:r>
      <w:r w:rsidRPr="00A301D2">
        <w:t xml:space="preserve"> oferenta niezwłocznie po wyborze ofert i po wpłaceniu na konto masy upadłości wylicytowanej kwoty. </w:t>
      </w:r>
    </w:p>
    <w:p w14:paraId="030F8CA8" w14:textId="1F544BDE" w:rsidR="00044BC6" w:rsidRPr="00DC4957" w:rsidRDefault="00044BC6" w:rsidP="00A301D2">
      <w:pPr>
        <w:pStyle w:val="Bezodstpw"/>
        <w:spacing w:line="360" w:lineRule="auto"/>
        <w:ind w:left="4956" w:firstLine="708"/>
        <w:jc w:val="center"/>
        <w:rPr>
          <w:rFonts w:cstheme="minorHAnsi" w:hint="eastAsia"/>
        </w:rPr>
      </w:pPr>
    </w:p>
    <w:sectPr w:rsidR="00044BC6" w:rsidRPr="00DC4957" w:rsidSect="00973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A545" w14:textId="77777777" w:rsidR="00DF7608" w:rsidRDefault="00DF7608" w:rsidP="00F039FD">
      <w:r>
        <w:separator/>
      </w:r>
    </w:p>
  </w:endnote>
  <w:endnote w:type="continuationSeparator" w:id="0">
    <w:p w14:paraId="1259F04C" w14:textId="77777777" w:rsidR="00DF7608" w:rsidRDefault="00DF7608" w:rsidP="00F0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 Display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EDB1" w14:textId="77777777" w:rsidR="00973779" w:rsidRDefault="009737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29CE" w14:textId="1DD47B96" w:rsidR="00F039FD" w:rsidRDefault="00F039FD" w:rsidP="00F039FD">
    <w:pPr>
      <w:pStyle w:val="Stopka"/>
      <w:pBdr>
        <w:bottom w:val="single" w:sz="12" w:space="1" w:color="auto"/>
      </w:pBdr>
      <w:tabs>
        <w:tab w:val="clear" w:pos="4536"/>
        <w:tab w:val="clear" w:pos="9072"/>
      </w:tabs>
      <w:ind w:left="-709" w:right="-709"/>
      <w:jc w:val="both"/>
      <w:rPr>
        <w:sz w:val="20"/>
        <w:szCs w:val="20"/>
      </w:rPr>
    </w:pPr>
  </w:p>
  <w:p w14:paraId="2AFCBB34" w14:textId="0ECCFF62" w:rsidR="00F039FD" w:rsidRPr="0053374E" w:rsidRDefault="00F039FD" w:rsidP="00F039FD">
    <w:pPr>
      <w:pStyle w:val="Stopka"/>
      <w:tabs>
        <w:tab w:val="clear" w:pos="4536"/>
        <w:tab w:val="clear" w:pos="9072"/>
      </w:tabs>
      <w:ind w:left="-709" w:right="-709"/>
      <w:jc w:val="both"/>
      <w:rPr>
        <w:rFonts w:ascii="Grandview Display" w:hAnsi="Grandview Display" w:cstheme="majorHAnsi"/>
        <w:sz w:val="6"/>
        <w:szCs w:val="6"/>
      </w:rPr>
    </w:pPr>
    <w:r w:rsidRPr="0053374E">
      <w:rPr>
        <w:rFonts w:ascii="Grandview Display" w:hAnsi="Grandview Display" w:cstheme="majorHAnsi"/>
        <w:sz w:val="20"/>
        <w:szCs w:val="20"/>
      </w:rPr>
      <w:t xml:space="preserve">Dobies Grenda sp. z o.o. </w:t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="0053374E">
      <w:rPr>
        <w:rFonts w:ascii="Grandview Display" w:hAnsi="Grandview Display" w:cstheme="majorHAnsi"/>
        <w:sz w:val="20"/>
        <w:szCs w:val="20"/>
      </w:rPr>
      <w:t xml:space="preserve">           </w:t>
    </w:r>
    <w:r w:rsidRPr="0053374E">
      <w:rPr>
        <w:rFonts w:ascii="Grandview Display" w:hAnsi="Grandview Display" w:cstheme="majorHAnsi"/>
        <w:sz w:val="20"/>
        <w:szCs w:val="20"/>
      </w:rPr>
      <w:t>ul. Turystyczna 71, 87-100 Toruń</w:t>
    </w:r>
    <w:r w:rsidRPr="0053374E">
      <w:rPr>
        <w:rFonts w:ascii="Grandview Display" w:hAnsi="Grandview Display" w:cstheme="majorHAnsi"/>
        <w:sz w:val="20"/>
        <w:szCs w:val="20"/>
      </w:rPr>
      <w:br/>
    </w:r>
    <w:hyperlink r:id="rId1" w:history="1">
      <w:r w:rsidRPr="0053374E">
        <w:rPr>
          <w:rStyle w:val="Hipercze"/>
          <w:rFonts w:ascii="Grandview Display" w:hAnsi="Grandview Display" w:cstheme="majorHAnsi"/>
          <w:color w:val="000000" w:themeColor="text1"/>
          <w:sz w:val="20"/>
          <w:szCs w:val="20"/>
        </w:rPr>
        <w:t>www.dobiesgrenda.pl</w:t>
      </w:r>
    </w:hyperlink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ab/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ab/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ab/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ab/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ab/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ab/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ab/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ab/>
    </w:r>
    <w:r w:rsidR="0053374E">
      <w:rPr>
        <w:rFonts w:ascii="Grandview Display" w:hAnsi="Grandview Display" w:cstheme="majorHAnsi"/>
        <w:color w:val="000000" w:themeColor="text1"/>
        <w:sz w:val="20"/>
        <w:szCs w:val="20"/>
      </w:rPr>
      <w:t xml:space="preserve">           </w:t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t>ul. Balladyny 8/1, 81-524 Gdynia</w:t>
    </w:r>
    <w:r w:rsidRPr="0053374E">
      <w:rPr>
        <w:rFonts w:ascii="Grandview Display" w:hAnsi="Grandview Display" w:cstheme="majorHAnsi"/>
        <w:color w:val="000000" w:themeColor="text1"/>
        <w:sz w:val="20"/>
        <w:szCs w:val="20"/>
      </w:rPr>
      <w:br/>
    </w:r>
    <w:r w:rsidRPr="0053374E">
      <w:rPr>
        <w:rFonts w:ascii="Grandview Display" w:hAnsi="Grandview Display" w:cstheme="majorHAnsi"/>
        <w:sz w:val="20"/>
        <w:szCs w:val="20"/>
      </w:rPr>
      <w:t xml:space="preserve">tel. 508263888, e-mail: </w:t>
    </w:r>
    <w:hyperlink r:id="rId2" w:history="1">
      <w:r w:rsidR="0053374E" w:rsidRPr="00557891">
        <w:rPr>
          <w:rStyle w:val="Hipercze"/>
          <w:rFonts w:ascii="Grandview Display" w:hAnsi="Grandview Display" w:cstheme="majorHAnsi"/>
          <w:sz w:val="20"/>
          <w:szCs w:val="20"/>
        </w:rPr>
        <w:t>biuro@dgmr.pl</w:t>
      </w:r>
    </w:hyperlink>
    <w:r w:rsid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Pr="0053374E">
      <w:rPr>
        <w:rFonts w:ascii="Grandview Display" w:hAnsi="Grandview Display" w:cstheme="majorHAnsi"/>
        <w:sz w:val="20"/>
        <w:szCs w:val="20"/>
      </w:rPr>
      <w:tab/>
    </w:r>
    <w:r w:rsidR="0053374E">
      <w:rPr>
        <w:rFonts w:ascii="Grandview Display" w:hAnsi="Grandview Display" w:cstheme="majorHAnsi"/>
        <w:sz w:val="20"/>
        <w:szCs w:val="20"/>
      </w:rPr>
      <w:t xml:space="preserve">         </w:t>
    </w:r>
    <w:r w:rsidRPr="0053374E">
      <w:rPr>
        <w:rFonts w:ascii="Grandview Display" w:hAnsi="Grandview Display" w:cstheme="majorHAnsi"/>
        <w:sz w:val="20"/>
        <w:szCs w:val="20"/>
      </w:rPr>
      <w:t>ul. Paderewskiego 24 a, 86-300 Grudziądz</w:t>
    </w:r>
    <w:r w:rsidR="0053374E">
      <w:rPr>
        <w:rFonts w:ascii="Grandview Display" w:hAnsi="Grandview Display" w:cstheme="majorHAnsi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8FF5" w14:textId="77777777" w:rsidR="00973779" w:rsidRDefault="00973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3347" w14:textId="77777777" w:rsidR="00DF7608" w:rsidRDefault="00DF7608" w:rsidP="00F039FD">
      <w:r>
        <w:separator/>
      </w:r>
    </w:p>
  </w:footnote>
  <w:footnote w:type="continuationSeparator" w:id="0">
    <w:p w14:paraId="3C0E621B" w14:textId="77777777" w:rsidR="00DF7608" w:rsidRDefault="00DF7608" w:rsidP="00F0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20C5" w14:textId="77777777" w:rsidR="00973779" w:rsidRDefault="009737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8750" w14:textId="74135DE9" w:rsidR="00973779" w:rsidRPr="00973779" w:rsidRDefault="00973779" w:rsidP="00973779">
    <w:pPr>
      <w:pStyle w:val="Nagwek"/>
      <w:tabs>
        <w:tab w:val="clear" w:pos="9072"/>
        <w:tab w:val="right" w:pos="0"/>
      </w:tabs>
      <w:ind w:left="-1276" w:right="-709"/>
    </w:pPr>
    <w:r>
      <w:rPr>
        <w:noProof/>
      </w:rPr>
      <w:drawing>
        <wp:inline distT="0" distB="0" distL="0" distR="0" wp14:anchorId="26069667" wp14:editId="03DDDF6D">
          <wp:extent cx="3221666" cy="1295130"/>
          <wp:effectExtent l="0" t="0" r="0" b="0"/>
          <wp:docPr id="250264150" name="Obraz 2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64150" name="Obraz 2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4967" cy="132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DBEB" w14:textId="77777777" w:rsidR="00973779" w:rsidRDefault="00973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AC97C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246E3A"/>
    <w:multiLevelType w:val="hybridMultilevel"/>
    <w:tmpl w:val="0D08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4181">
    <w:abstractNumId w:val="1"/>
  </w:num>
  <w:num w:numId="2" w16cid:durableId="73324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FD"/>
    <w:rsid w:val="00044BC6"/>
    <w:rsid w:val="00092650"/>
    <w:rsid w:val="00175BC2"/>
    <w:rsid w:val="0020791D"/>
    <w:rsid w:val="003050E4"/>
    <w:rsid w:val="00337307"/>
    <w:rsid w:val="003C5DEB"/>
    <w:rsid w:val="004C1C07"/>
    <w:rsid w:val="0053374E"/>
    <w:rsid w:val="005A0B12"/>
    <w:rsid w:val="005E49A5"/>
    <w:rsid w:val="007C3590"/>
    <w:rsid w:val="008951C5"/>
    <w:rsid w:val="00952525"/>
    <w:rsid w:val="00973779"/>
    <w:rsid w:val="00983CD3"/>
    <w:rsid w:val="00A301D2"/>
    <w:rsid w:val="00A91F00"/>
    <w:rsid w:val="00D331E8"/>
    <w:rsid w:val="00DC4957"/>
    <w:rsid w:val="00DF7608"/>
    <w:rsid w:val="00F039FD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6393"/>
  <w15:chartTrackingRefBased/>
  <w15:docId w15:val="{FB589633-D36E-1C4D-83D7-71CF2DB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9FD"/>
  </w:style>
  <w:style w:type="paragraph" w:styleId="Stopka">
    <w:name w:val="footer"/>
    <w:basedOn w:val="Normalny"/>
    <w:link w:val="StopkaZnak"/>
    <w:uiPriority w:val="99"/>
    <w:unhideWhenUsed/>
    <w:rsid w:val="00F03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9FD"/>
  </w:style>
  <w:style w:type="character" w:styleId="Hipercze">
    <w:name w:val="Hyperlink"/>
    <w:basedOn w:val="Domylnaczcionkaakapitu"/>
    <w:uiPriority w:val="99"/>
    <w:unhideWhenUsed/>
    <w:rsid w:val="00F039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9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51C5"/>
    <w:pPr>
      <w:ind w:left="720"/>
      <w:contextualSpacing/>
    </w:pPr>
  </w:style>
  <w:style w:type="paragraph" w:styleId="Bezodstpw">
    <w:name w:val="No Spacing"/>
    <w:uiPriority w:val="1"/>
    <w:qFormat/>
    <w:rsid w:val="00044BC6"/>
    <w:rPr>
      <w:rFonts w:ascii="Liberation Serif" w:eastAsia="SimSun" w:hAnsi="Liberation Serif" w:cs="Lucida Sans"/>
      <w:kern w:val="0"/>
      <w:sz w:val="20"/>
      <w:lang w:eastAsia="zh-CN" w:bidi="hi-IN"/>
      <w14:ligatures w14:val="none"/>
    </w:rPr>
  </w:style>
  <w:style w:type="paragraph" w:customStyle="1" w:styleId="Default">
    <w:name w:val="Default"/>
    <w:rsid w:val="00A301D2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iesgrend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dgmr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dgmr.pl" TargetMode="External"/><Relationship Id="rId1" Type="http://schemas.openxmlformats.org/officeDocument/2006/relationships/hyperlink" Target="http://www.dobiesgren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Dobies</dc:creator>
  <cp:keywords/>
  <dc:description/>
  <cp:lastModifiedBy>DG MR</cp:lastModifiedBy>
  <cp:revision>5</cp:revision>
  <cp:lastPrinted>2024-03-29T10:48:00Z</cp:lastPrinted>
  <dcterms:created xsi:type="dcterms:W3CDTF">2024-06-28T11:15:00Z</dcterms:created>
  <dcterms:modified xsi:type="dcterms:W3CDTF">2024-06-28T11:44:00Z</dcterms:modified>
</cp:coreProperties>
</file>